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Hemab Therapeutics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001-43250</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41-4241952</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404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rPr>
              <w:t>101 Main Street, Suite 1220</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404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300" w:type="dxa"/>
            <w:vAlign w:val="bottom"/>
          </w:tcPr>
          <w:p>
            <w:pPr>
              <w:spacing w:after="0"/>
              <w:rPr>
                <w:sz w:val="18"/>
                <w:szCs w:val="18"/>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553-3952</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COAG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21, 2026, Hemab Therapeutics Holdings, Inc. (the “Company”) issued a press release announcing the Company’s financial results for the quarter ended March 31, 2026. A copy of the press release is furnished as Exhibit 99.1 to this Current Report on Form 8-K and is incorporated herein by reference.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Hemab Therapeutics Holdings, Inc. on May 21,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HEMAB THERAPEUTICS HOLDINGS,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Benny Sørensen, M.D., Ph.D.</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Benny Sørensen, M.D., Ph.D.</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1450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Hemab Therapeutics Reports First Quarter 2026 Financial Results </w:t>
      </w:r>
      <w:r>
        <w:rPr>
          <w:rFonts w:ascii="Times New Roman" w:cs="Times New Roman" w:eastAsia="Times New Roman" w:hAnsi="Times New Roman"/>
          <w:sz w:val="18"/>
          <w:szCs w:val="18"/>
          <w:i w:val="1"/>
          <w:iCs w:val="1"/>
          <w:color w:val="auto"/>
        </w:rPr>
        <w:t>Completed Initial Public Offering in May 2026, raising gross proceeds of $346.7 million and listing on Nasdaq Granted Breakthrough Therapy Designation for sutacimig in Glanzmann thrombasthenia</w:t>
      </w:r>
    </w:p>
    <w:p>
      <w:pPr>
        <w:spacing w:after="0" w:line="63"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CAMBRIDGE, MA, USA &amp; COPENHAGEN, Denmark – May 21 2026 </w:t>
      </w:r>
      <w:r>
        <w:rPr>
          <w:rFonts w:ascii="Times New Roman" w:cs="Times New Roman" w:eastAsia="Times New Roman" w:hAnsi="Times New Roman"/>
          <w:sz w:val="18"/>
          <w:szCs w:val="18"/>
          <w:color w:val="auto"/>
        </w:rPr>
        <w:t>– Hemab Therapeutics Holdings, Inc., a clinical-stage biotechnology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developing therapies that reimagine the treatment of blood coagulation disorders to sustain life and human resilience, today announced financial results for the first quarter ended March 31, 2026 and noted recent business highlights.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public company we continue our journey to accelerate progress and broaden impact for people living with serious coagulation disorders with strong momentum across our clinical programs,” said Benny Sørensen, Chief Executive Officer of Hemab Therapeutics. “The Breakthrough Therapy Designation for sutacimig in Glanzmann thrombasthenia recognizes both the potential for sutacimig to address a significant unmet need, and the urgency of bringing new treatment options to people living with Glanzmann thrombasthenia. With the successful completion of our IPO, our team remains focused on advancing sutacimig toward pivotal trials, advancing HMB-002, while continuing to expand our pipeline with the goal of bringing new therapies to those living with high unmet need coagulation disorders.”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Highlights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May 2026, the Company completed an upsized IPO of 19,262,500 shares of its common stock, including the exercise in full of the underwriters’ option to purchase an additional 2,512,500 shares, at a public offering price of $18.00 per share. The offering raised gross proceeds of $346.7 million before deducting underwriting discounts and commissions and offering expenses payable by the Company. The Company’s common stock is now trading on the Nasdaq Global Select Market under the ticker symbol “COAG”.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 and Anticipated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Sutacimig: </w:t>
      </w:r>
      <w:r>
        <w:rPr>
          <w:rFonts w:ascii="Times New Roman" w:cs="Times New Roman" w:eastAsia="Times New Roman" w:hAnsi="Times New Roman"/>
          <w:sz w:val="18"/>
          <w:szCs w:val="18"/>
          <w:color w:val="auto"/>
        </w:rPr>
        <w:t>Sutacimig, a bispecific antibody, is the Company’s most advanced product candidate. The Company is advancing the clinical development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sutacimig for two indications: Glanzmann thrombasthenia (GT) and Factor VII Deficiency.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Glanzmann Thrombasthenia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GT is a serious inherited bleeding disorder with a prevalence of between 1 in 350,000 and 1 in 600,000 in the United States and caused by defects in platelet aggregation. Current treatment options are limited to platelet transfusions, antifibrinolytics, recombinant Factor VIIa, and bone marrow transplantation.</w:t>
      </w:r>
    </w:p>
    <w:p>
      <w:pPr>
        <w:spacing w:after="0" w:line="81" w:lineRule="exact"/>
        <w:rPr>
          <w:sz w:val="20"/>
          <w:szCs w:val="20"/>
          <w:color w:val="auto"/>
        </w:rPr>
      </w:pPr>
    </w:p>
    <w:p>
      <w:pPr>
        <w:ind w:left="960" w:right="24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conducting a Phase 1/2 clinical trial of sutacimig in patients with GT. Part B of the trial, which evaluated the safety and tolerability profile of sutacimig and explored clinical efficacy over three months at multiple dose levels, is complete, and patients are continuing treatment with sutacimig in the long-term extension portion of the trial.</w:t>
      </w:r>
    </w:p>
    <w:p>
      <w:pPr>
        <w:spacing w:after="0" w:line="81"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sutacimig received Breakthrough Therapy Designation from the US Food and Drug Administration (FDA) for GT, a designation awarded to medicines that treat serious or life-threatening conditions where preliminary clinical evidence suggests the potential for a substantial improvement over the current standard of care.</w:t>
      </w:r>
    </w:p>
    <w:p>
      <w:pPr>
        <w:sectPr>
          <w:pgSz w:w="11900" w:h="16838" w:orient="portrait"/>
          <w:cols w:equalWidth="0" w:num="1">
            <w:col w:w="11020"/>
          </w:cols>
          <w:pgMar w:left="440" w:top="117" w:right="439" w:bottom="1440" w:gutter="0" w:footer="0" w:header="0"/>
        </w:sectPr>
      </w:pPr>
    </w:p>
    <w:bookmarkStart w:id="4" w:name="page5"/>
    <w:bookmarkEnd w:id="4"/>
    <w:p>
      <w:pPr>
        <w:ind w:left="960" w:right="1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preparing for a planned Phase 3 pivotal clinical trial in patients with GT that it anticipates initiating in the second half of 2026.</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Sutacimig has received Orphan Drug Designation from both the FDA and the European Medicines Agency (EMA) for the treatment of GT.</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 VII Deficiency</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Factor VII deficiency is a serious inherited coagulation disorder affecting approximately 1 in 500,000 people globally, that is characterized by impaired blood clotting and increased bleeding risk.</w:t>
      </w:r>
    </w:p>
    <w:p>
      <w:pPr>
        <w:spacing w:after="0" w:line="67" w:lineRule="exact"/>
        <w:rPr>
          <w:sz w:val="20"/>
          <w:szCs w:val="20"/>
          <w:color w:val="auto"/>
        </w:rPr>
      </w:pPr>
    </w:p>
    <w:p>
      <w:pPr>
        <w:ind w:left="960" w:right="1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conducting an ongoing Phase 2 clinical trial of sutacimig for Factor VII deficiency. The Company expects to report data from the trial in late 2026 or early 2027.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HMB-002 - Von Willebrand Disease</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HMB-002 is a novel monovalent antibody designed for subcutaneous prophylactic treatment of Von Willebrand Disease (VWD), one of the most common inherited bleeding disorders affecting approximately 140,000 patients.</w:t>
      </w:r>
    </w:p>
    <w:p>
      <w:pPr>
        <w:spacing w:after="0" w:line="67" w:lineRule="exact"/>
        <w:rPr>
          <w:sz w:val="20"/>
          <w:szCs w:val="20"/>
          <w:color w:val="auto"/>
        </w:rPr>
      </w:pPr>
    </w:p>
    <w:p>
      <w:pPr>
        <w:ind w:left="9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evaluating HMB-002 in an ongoing Phase 1/2 clinical trial. The Company expects to report data from the trial in late 2026 or early 2027.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Expansion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is also advancing multiple preclinical and discovery-stage assets focused on coagulation disorders with the goal of addressing critical gaps in the treatment landscape.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135" w:lineRule="exact"/>
        <w:rPr>
          <w:sz w:val="20"/>
          <w:szCs w:val="20"/>
          <w:color w:val="auto"/>
        </w:rPr>
      </w:pPr>
    </w:p>
    <w:p>
      <w:pPr>
        <w:ind w:left="960" w:right="20" w:hanging="424"/>
        <w:spacing w:after="0" w:line="261"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Position and Cash Runway: Cash, cash equivalents, and marketable securities totaled $163.5 million as of March 31, 2026, compared to $185.5 million as of December 31, 2025. The Company believes its current cash, cash equivalents, and marketable securities, together with net proceeds from the initial public offering completed in May 2026 of approximately $317.2 million, will enable it to fund its operating expenses and capital expenditure requirements into 2029.</w:t>
      </w:r>
    </w:p>
    <w:p>
      <w:pPr>
        <w:spacing w:after="0" w:line="85" w:lineRule="exact"/>
        <w:rPr>
          <w:rFonts w:ascii="Times New Roman" w:cs="Times New Roman" w:eastAsia="Times New Roman" w:hAnsi="Times New Roman"/>
          <w:sz w:val="18"/>
          <w:szCs w:val="18"/>
          <w:color w:val="auto"/>
        </w:rPr>
      </w:pPr>
    </w:p>
    <w:p>
      <w:pPr>
        <w:ind w:left="960" w:right="16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Research and development expenses were $19.5 million for the three months ended March 31, 2026, compared to $14.1 million for the three months ended March 31, 2025, reflecting advancement of clinical programs and regulatory activities.</w:t>
      </w:r>
    </w:p>
    <w:p>
      <w:pPr>
        <w:spacing w:after="0" w:line="81"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General and administrative expenses were $4.2 million for the three months ended March 31, 2026, compared to $2.5 million for the three months ended March 31, 2025, including costs associated with preparing for and completing the initial public offering.</w:t>
      </w:r>
    </w:p>
    <w:p>
      <w:pPr>
        <w:spacing w:after="0" w:line="81" w:lineRule="exact"/>
        <w:rPr>
          <w:rFonts w:ascii="Times New Roman" w:cs="Times New Roman" w:eastAsia="Times New Roman" w:hAnsi="Times New Roman"/>
          <w:sz w:val="18"/>
          <w:szCs w:val="18"/>
          <w:color w:val="auto"/>
        </w:rPr>
      </w:pPr>
    </w:p>
    <w:p>
      <w:pPr>
        <w:ind w:left="960" w:right="7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Net loss was $22.7 million, or $23.98 per share, for the three months ended March 31, 2026, compared to a net loss of $15.3 million, or $16.18 per share, for the three months ended March 31, 2025.</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Hemab Therapeutics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Hemab Therapeutics Holdings, Inc. is a clinical-stage biotechnology company developing therapies that reimagine the treatment of blood coagulation disorders to sustain life and human resilience. Hemab’s mission is to discover, develop, and commercialize innovative therapies for the millions of patients worldwide suffering from serious bleeding and thrombotic diseases. Hemab is building a franchise of innovative therapeutics designed to address critical gaps in the treatment of coagulation disorders, including sutacimig (HMB-001), a bispecific antibody in clinical development for the prophylactic treatment of Glanzmann thrombasthenia and Factor VII deficiency, and HMB-002, a monovalent antibody in clinical development for the prophylactic treatment of Von Willebrand Disease.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hemab.com</w:t>
      </w:r>
      <w:r>
        <w:rPr>
          <w:rFonts w:ascii="Times New Roman" w:cs="Times New Roman" w:eastAsia="Times New Roman" w:hAnsi="Times New Roman"/>
          <w:sz w:val="18"/>
          <w:szCs w:val="18"/>
          <w:color w:val="auto"/>
        </w:rPr>
        <w:t xml:space="preserve">.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press release contains forward-looking statements that involve substantial risks and uncertainties. All statements, other than statements of historical facts, contained in this press release, including statements regarding Hemab’s strategy, future operations, prospects and plans, objectives of management, the anticipated timelines for reporting data from Hemab’s clinical trials, the anticipated timelines for initiating a Phase 3 clinical trial of sutacimig, Hemab’s plans to expand its pipeline, and the sufficiency of Hemab’s cash resources for the period anticipated, constitute forward-looking statements within the meaning of The Private Securities Litigation Reform Act of 1995. The words “anticipate,” “believe,” “continue,” “could,” “estimate,” “expect,” “intend,” “may,” “might,” “objective,” “ongoing,” “plan,” “predict,” “project,” “potential,” “should,” or “would,” or the negative of these terms, or other comparable terminology are intended to identify forward-looking statements, although not all forward-looking statements contain these identifying words. Hemab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identification and development of product candidates, including the initiation and completion of preclinical studies and clinical trials; uncertainties as to the availability and timing of results from preclinical studies and clinical trials; the timing of and Hemab’s ability to initiate and enroll patients in clinical trials; whether results from preclinical studies and earlier clinical trials will be predictive of the results of later clinical trials; whether Hemab’s cash resources will be sufficient to fund the Company’s foreseeable and unforeseeable operating expenses and capital expenditure requirements; as well as the risks and uncertainties identified in Hemab’s filings with the Securities and Exchange Commission (SEC), including the Company’s most recent Form 10-Q and in subsequent filings Hemab may make with the SEC. In addition, the forward-looking statements included in this press release represent Hemab’s views as of the date of this press release. Hemab anticipates that subsequent events and developments will cause its views to change. However, while Hemab may elect to update these forward-looking statements at some point in the future, it specifically disclaims any obligation to do so. These forward-looking statements should not be relied upon as representing Hemab’s views as of any date subsequent to the date of this press release.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peg.rusconi@deerfieldgroup.com</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Hemab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Mads Behrndt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mads@hemab.com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Hemab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tcPr>
          <w:p>
            <w:pPr>
              <w:spacing w:after="0"/>
              <w:rPr>
                <w:sz w:val="15"/>
                <w:szCs w:val="15"/>
                <w:color w:val="auto"/>
              </w:rPr>
            </w:pPr>
          </w:p>
        </w:tc>
        <w:tc>
          <w:tcPr>
            <w:tcW w:w="2240" w:type="dxa"/>
            <w:vAlign w:val="bottom"/>
            <w:gridSpan w:val="9"/>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7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gridSpan w:val="3"/>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19,461</w:t>
            </w:r>
          </w:p>
        </w:tc>
        <w:tc>
          <w:tcPr>
            <w:tcW w:w="1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14,101</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2,459</w:t>
            </w:r>
          </w:p>
        </w:tc>
        <w:tc>
          <w:tcPr>
            <w:tcW w:w="0" w:type="dxa"/>
            <w:vAlign w:val="bottom"/>
          </w:tcPr>
          <w:p>
            <w:pPr>
              <w:spacing w:after="0"/>
              <w:rPr>
                <w:sz w:val="1"/>
                <w:szCs w:val="1"/>
                <w:color w:val="auto"/>
              </w:rPr>
            </w:pPr>
          </w:p>
        </w:tc>
      </w:tr>
      <w:tr>
        <w:trPr>
          <w:trHeight w:val="230"/>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(23,612)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(22,675)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(22,687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ordinary shares outstanding, basic and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946,000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(22,687)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gain (loss) on available-for-sale debt securities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(23,301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780" w:type="dxa"/>
            <w:vAlign w:val="bottom"/>
            <w:vMerge w:val="restart"/>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rPr>
              <w:t>Hemab Therapeutics Holdings, Inc.</w:t>
            </w: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8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78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Selected Consolidated Balance Sheets Data</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78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780" w:type="dxa"/>
            <w:vAlign w:val="bottom"/>
          </w:tcPr>
          <w:p>
            <w:pPr>
              <w:jc w:val="center"/>
              <w:ind w:left="21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49,860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87,974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113,671</w:t>
            </w: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97,511</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7,066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175,258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5,734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4,296</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 and convertible preference shares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360,168</w:t>
            </w: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360,168</w:t>
            </w:r>
          </w:p>
        </w:tc>
        <w:tc>
          <w:tcPr>
            <w:tcW w:w="0" w:type="dxa"/>
            <w:vAlign w:val="bottom"/>
          </w:tcPr>
          <w:p>
            <w:pPr>
              <w:spacing w:after="0"/>
              <w:rPr>
                <w:sz w:val="1"/>
                <w:szCs w:val="1"/>
                <w:color w:val="auto"/>
              </w:rPr>
            </w:pPr>
          </w:p>
        </w:tc>
      </w:tr>
      <w:tr>
        <w:trPr>
          <w:trHeight w:val="234"/>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1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$(198,618)</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(176,635)</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Hemab Therapeutics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Cash Flows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80" w:type="dxa"/>
            <w:vAlign w:val="bottom"/>
          </w:tcPr>
          <w:p>
            <w:pPr>
              <w:spacing w:after="0"/>
              <w:rPr>
                <w:sz w:val="15"/>
                <w:szCs w:val="15"/>
                <w:color w:val="auto"/>
              </w:rPr>
            </w:pPr>
          </w:p>
        </w:tc>
        <w:tc>
          <w:tcPr>
            <w:tcW w:w="21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8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209"/>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12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(15,847)</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(5,994)</w:t>
            </w: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(38,114)  $</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(19,056)</w:t>
            </w:r>
          </w:p>
        </w:tc>
      </w:tr>
      <w:tr>
        <w:trPr>
          <w:trHeight w:val="20"/>
        </w:trPr>
        <w:tc>
          <w:tcPr>
            <w:tcW w:w="8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2026-05-21T06:06:58Z</dcterms:created>
  <dcterms:modified xsi:type="dcterms:W3CDTF">2026-05-21T06:06:58Z</dcterms:modified>
</cp:coreProperties>
</file>