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Hemab Therapeutics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COAG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20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1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7"/>
                <w:szCs w:val="17"/>
                <w:color w:val="0000FF"/>
              </w:rPr>
              <w:t>06/15/2026</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Pr>
          <w:p>
            <w:pPr>
              <w:spacing w:after="0"/>
              <w:rPr>
                <w:sz w:val="21"/>
                <w:szCs w:val="21"/>
                <w:color w:val="auto"/>
              </w:rPr>
            </w:pPr>
          </w:p>
        </w:tc>
        <w:tc>
          <w:tcPr>
            <w:tcW w:w="740" w:type="dxa"/>
            <w:vAlign w:val="bottom"/>
            <w:vMerge w:val="restart"/>
          </w:tcPr>
          <w:p>
            <w:pPr>
              <w:jc w:val="right"/>
              <w:ind w:right="72"/>
              <w:spacing w:after="0"/>
              <w:rPr>
                <w:sz w:val="20"/>
                <w:szCs w:val="20"/>
                <w:color w:val="auto"/>
              </w:rPr>
            </w:pPr>
            <w:r>
              <w:rPr>
                <w:rFonts w:ascii="Times New Roman" w:cs="Times New Roman" w:eastAsia="Times New Roman" w:hAnsi="Times New Roman"/>
                <w:sz w:val="17"/>
                <w:szCs w:val="17"/>
                <w:color w:val="0000FF"/>
              </w:rPr>
              <w:t>6,146</w:t>
            </w:r>
          </w:p>
        </w:tc>
        <w:tc>
          <w:tcPr>
            <w:tcW w:w="20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24.89</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9"/>
              </w:rPr>
              <w:t>6,383,114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4"/>
            <w:vMerge w:val="restart"/>
          </w:tcPr>
          <w:p>
            <w:pPr>
              <w:ind w:left="340"/>
              <w:spacing w:after="0"/>
              <w:rPr>
                <w:sz w:val="20"/>
                <w:szCs w:val="20"/>
                <w:color w:val="auto"/>
              </w:rPr>
            </w:pPr>
            <w:r>
              <w:rPr>
                <w:rFonts w:ascii="Times New Roman" w:cs="Times New Roman" w:eastAsia="Times New Roman" w:hAnsi="Times New Roman"/>
                <w:sz w:val="17"/>
                <w:szCs w:val="17"/>
                <w:color w:val="0000FF"/>
              </w:rPr>
              <w:t>06/16/2026</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61,523</w:t>
            </w: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24.98</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6,444,637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1,009,052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354,938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17"/>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 CAPITAL MANAGEMENT,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02116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RA Capital Healthcare Fund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Kolchinsky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294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42945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Shah Rajeev M.</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$24.55 to $25.00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20" w:right="1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RA Capital Nexus II Fund, L.P. (the "Nexus Fund II") and RA Capital Nexus IV Fund, L.P. (the "Nexus Fund IV"). The general partner of the Adviser is RA Capital Management GP, LLC (the "Adviser GP"), of which Dr. Peter Kolchinsky and Mr. Rajeev Shah are the managing members. The Adviser, the Adviser GP, the Fund, Dr. Kolchinsky and Mr. Shah disclaim beneficial ownership of any of the reported securities, except to the extent of their pecuniary interest therein.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Fund.</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$24.65 to $25.00 inclusive.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II.</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Nexus Fund IV.</w:t>
      </w:r>
    </w:p>
    <w:p>
      <w:pPr>
        <w:sectPr>
          <w:pgSz w:w="11900" w:h="16838" w:orient="portrait"/>
          <w:cols w:equalWidth="0" w:num="1">
            <w:col w:w="10880"/>
          </w:cols>
          <w:pgMar w:left="480" w:top="260" w:right="539" w:bottom="144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70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RA Capital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0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12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1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2120"/>
          </w:cols>
          <w:pgMar w:left="480" w:top="260" w:right="5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26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2114044" TargetMode="External"/><Relationship Id="rId15"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384859" TargetMode="External"/><Relationship Id="rId19"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2026-06-17T17:25:55Z</dcterms:created>
  <dcterms:modified xsi:type="dcterms:W3CDTF">2026-06-17T17:25:55Z</dcterms:modified>
</cp:coreProperties>
</file>