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Hemab Therapeutics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Sofinnova Crossover II SLP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2,511,212.00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Items 5 and 6: Sofinnova Partners SAS, a French corporation ("SP SAS"), the management company of Sofinnova Crossover II SLP ("SC"), may be deemed to have sole voting power, and Antoine Papiernik ("Papiernik"), Cedric Moreau ("Moreau"), Kinam Hong ("Hong"), Joseph Anderson ("Anderson") and David Evans ("Evans") the members of the investment committee of SC, may be deemed to have shared power to vote these shares. Note to Items 7 and 8: SP SAS, the management company of SC, may be deemed to have sole power to dispose of these shares, and Papiernik, Moreau, Hong, Anderson and Evans, the members of the investment committee of SC, may be deemed to have shared power to dispose of these shares. Note in relation to Items 9 and 11: The aggregate amount beneficially owned and percent of class reported above are based on 46,705,410 shares of common stock outstanding as of May 8, 2026, as reported in the Issuer's Form 10-Q filed with the SEC on May 21,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Sofinnova Partners SAS, a French corporation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2,511,212.00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Items 5 and 6: SP SAS, the management company of SC, may be deemed to have sole voting power, and the members of the investment committee of SC, may be deemed to have shared power to vote its shares. Note to Items 7 and 8: SP SAS, the management company of SC, may be deemed to have sole power to dispose of these shares, and the members of the investment committee of SC, may be deemed to have shared power to dispose of its shares. Note in relation to Items 9 and 11: The aggregate amount beneficially owned and percent of class reported above are based on 46,705,410 shares of common stock outstanding as of May 8, 2026, as reported in the Issuer's Form 10-Q filed with the SEC on May 21,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Antoine Papiernik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2,511,212.00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Items 5 and 6: SP SAS, the management company of SC, may be deemed to have sole voting power, and Papiernik, a member of the investment committee of SC, may be deemed to have shared power to vote these shares. Note to Items 7 and 8: SP SAS, the management company of SC, may be deemed to have sole power to dispose of these shares, and Papiernik, a member of the investment committee of SC, may be deemed to have shared power to dispose of these shares. Note in relation to Items 9 and 11: The aggregate amount beneficially owned and percent of class reported above are based on 46,705,410 shares of common stock outstanding as of May 8, 2026, as reported in the Issuer's Form 10-Q filed with the SEC on May 21,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Cedric Moreau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2,511,212.00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Items 5 and 6: SP SAS, the management company of SC, may be deemed to have sole voting power, and Moreau, a member of the investment committee of SC, may be deemed to have shared power to vote these shares. Note to Items 7 and 8: SP SAS, the management company of SC, may be deemed to have sole power to dispose of these shares, and Moreau, a member of the investment committee of SC, may be deemed to have shared power to dispose of these shares. Note in relation to Items 9 and 11: The aggregate amount beneficially owned and percent of class reported above are based on 46,705,410 shares of common stock outstanding as of May 8, 2026, as reported in the Issuer's Form 10-Q filed with the SEC on May 21,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Kinam Hong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2,511,212.00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Items 5 and 6: SP SAS, the management company of SC, may be deemed to have sole voting power, and Hong, a member of the investment committee of SC, may be deemed to have shared power to vote these shares. Note to Items 7 and 8: SP SAS, the management company of SC, may be deemed to have sole power to dispose of these shares, and Hong, a member of the investment committee of SC, may be deemed to have shared power to dispose of these shares. Note in relation to Items 9 and 11: The aggregate amount beneficially owned and percent of class reported above are based on 46,705,410 shares of common stock outstanding as of May 8, 2026, as reported in the Issuer's Form 10-Q filed with the SEC on May 21,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Anderson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2,511,212.00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Items 5 and 6: SP SAS, the management company of SC, may be deemed to have sole voting power, and Anderson, a member of the investment committee of SC, may be deemed to have shared power to vote these shares. Note to Items 7 and 8: SP SAS, the management company of SC, may be deemed to have sole power to dispose of these shares, and Anderson, a member of the investment committee of SC, may be deemed to have shared power to dispose of these shares. Note in relation to Items 9 and 11: The aggregate amount beneficially owned and percent of class reported above are based on 46,705,410 shares of common stock outstanding as of May 8, 2026, as reported in the Issuer's Form 10-Q filed with the SEC on May 21,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Evans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2,511,212.00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2,511,212.00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Items 5 and 6: SP SAS, the management company of SC, may be deemed to have sole voting power, and Evans, a member of the investment committee of SC, may be deemed to have shared power to vote these shares. Note to Items 7 and 8: SP SAS, the management company of SC, may be deemed to have sole power to dispose of these shares, and Evans, a member of the investment committee of SC, may be deemed to have shared power to dispose of these shares. Note in relation to Items 9 and 11: The aggregate amount beneficially owned and percent of class reported above are based on 46,705,410 shares of common stock outstanding as of May 8, 2026, as reported in the Issuer's Form 10-Q filed with the SEC on May 21,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07"/>
        <w:gridCol w:w="8943"/>
        <w:gridCol w:w="155"/>
      </w:tblGrid>
      <w:tr>
        <w:trPr/>
        <w:tc>
          <w:tcPr>
            <w:tcW w:w="1107" w:type="dxa"/>
            <w:tcBorders/>
            <w:vAlign w:val="center"/>
          </w:tcPr>
          <w:p>
            <w:pPr>
              <w:pStyle w:val="TableContents"/>
              <w:bidi w:val="0"/>
              <w:spacing w:before="0" w:after="283"/>
              <w:jc w:val="left"/>
              <w:rPr/>
            </w:pPr>
            <w:r>
              <w:rPr/>
              <w:t>Item 1.</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issuer: </w:t>
            </w:r>
          </w:p>
          <w:p>
            <w:pPr>
              <w:pStyle w:val="TableContents"/>
              <w:bidi w:val="0"/>
              <w:spacing w:before="0" w:after="0"/>
              <w:jc w:val="left"/>
              <w:rPr/>
            </w:pPr>
            <w:r>
              <w:rPr/>
              <w:t>Hemab Therapeutics Holdings, Inc.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Main Street Suite 1220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2.</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persons and entities filing this Schedule 13G are Sofinnova Crossover II SLP ("SC"), Sofinnova Partners SAS ("SP SAS"), and Antoine Papiernik ("Papiernik"), Cedric Moreau ("Moreau), Kinam Hong ("Hong"), Joseph Anderson ("Anderson") and David Evans ("Evans"), the members of the investment committee of SC, (together with SC and SP SAS, the "Filing Persons"). SP SAS is the management company of SC.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place of business for each of the Filing Persons is Sofinnova Partners SAS, 7-11 boulevard Hausmann 75009 Paris, France.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jc w:val="left"/>
              <w:rPr/>
            </w:pPr>
            <w:r>
              <w:rPr/>
              <w:t xml:space="preserve">Citizenship: </w:t>
            </w:r>
          </w:p>
          <w:p>
            <w:pPr>
              <w:pStyle w:val="TableContents"/>
              <w:bidi w:val="0"/>
              <w:spacing w:before="0" w:after="0"/>
              <w:jc w:val="left"/>
              <w:rPr/>
            </w:pPr>
            <w:r>
              <w:rPr/>
              <w:t>SC is a French Partnership. SP SAS is a French Corporation. Papiernik, Moreau and Evans are French citizens. Hong is a U.S. citizen. Anderson is a British citizen.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3.</w:t>
            </w:r>
          </w:p>
        </w:tc>
        <w:tc>
          <w:tcPr>
            <w:tcW w:w="894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(f)</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(g)</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(h)</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(j)</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(k)</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4.</w:t>
            </w:r>
          </w:p>
        </w:tc>
        <w:tc>
          <w:tcPr>
            <w:tcW w:w="894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of the Filing Persons, which is incorporated herein by reference. The filing of this Schedule 13G shall not be construed as an admission by Papiernik, Moreau, Hong, Anderson and Evans that such person is, for the purposes of Section 13(d) of the Securities Exchange Act of 1934, the beneficial owner of any securities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of the Filing Persons, which is incorporated herein by reference. Ownership is stated as of June 30, 2026, and the ownership percentages are based on 46,705,410 shares of common stock outstanding as of May 8, 2026, as disclosed by Hemab Therapeutics, Inc. in its Form 10-Q filed with the SEC on May 21, 2026.  %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of the Filing Persons, which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of the Filing Persons, which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of the Filing Persons, which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of the Filing Persons, which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5.</w:t>
            </w:r>
          </w:p>
        </w:tc>
        <w:tc>
          <w:tcPr>
            <w:tcW w:w="894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894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7.</w:t>
            </w:r>
          </w:p>
        </w:tc>
        <w:tc>
          <w:tcPr>
            <w:tcW w:w="89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8.</w:t>
            </w:r>
          </w:p>
        </w:tc>
        <w:tc>
          <w:tcPr>
            <w:tcW w:w="894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9.</w:t>
            </w:r>
          </w:p>
        </w:tc>
        <w:tc>
          <w:tcPr>
            <w:tcW w:w="894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Sofinnova Crossover II SLP</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Antoine Papiernik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Sofinnova Partners SAS, a French corporation</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Antoine Papiernik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Antoine Papiernik</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Antoine Papiernik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Antoine Papiernik</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Cedric Moreau</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Cedric Moreau</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Cedric Moreau</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Kinam Hong</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2"/>
              <w:gridCol w:w="9013"/>
            </w:tblGrid>
            <w:tr>
              <w:trPr/>
              <w:tc>
                <w:tcPr>
                  <w:tcW w:w="1192" w:type="dxa"/>
                  <w:tcBorders/>
                  <w:vAlign w:val="center"/>
                </w:tcPr>
                <w:p>
                  <w:pPr>
                    <w:pStyle w:val="TableContents"/>
                    <w:bidi w:val="0"/>
                    <w:spacing w:before="0" w:after="283"/>
                    <w:jc w:val="left"/>
                    <w:rPr/>
                  </w:pPr>
                  <w:r>
                    <w:rPr/>
                    <w:t>Signature:</w:t>
                  </w:r>
                </w:p>
              </w:tc>
              <w:tc>
                <w:tcPr>
                  <w:tcW w:w="9013" w:type="dxa"/>
                  <w:tcBorders/>
                  <w:vAlign w:val="center"/>
                </w:tcPr>
                <w:p>
                  <w:pPr>
                    <w:pStyle w:val="TableContents"/>
                    <w:bidi w:val="0"/>
                    <w:spacing w:before="0" w:after="283"/>
                    <w:jc w:val="left"/>
                    <w:rPr/>
                  </w:pPr>
                  <w:r>
                    <w:rPr/>
                    <w:t>Kinam Hong</w:t>
                  </w:r>
                </w:p>
              </w:tc>
            </w:tr>
            <w:tr>
              <w:trPr/>
              <w:tc>
                <w:tcPr>
                  <w:tcW w:w="1192" w:type="dxa"/>
                  <w:tcBorders/>
                  <w:vAlign w:val="center"/>
                </w:tcPr>
                <w:p>
                  <w:pPr>
                    <w:pStyle w:val="TableContents"/>
                    <w:bidi w:val="0"/>
                    <w:spacing w:before="0" w:after="283"/>
                    <w:jc w:val="left"/>
                    <w:rPr/>
                  </w:pPr>
                  <w:r>
                    <w:rPr/>
                    <w:t>Name/Title:</w:t>
                  </w:r>
                </w:p>
              </w:tc>
              <w:tc>
                <w:tcPr>
                  <w:tcW w:w="9013" w:type="dxa"/>
                  <w:tcBorders/>
                  <w:vAlign w:val="center"/>
                </w:tcPr>
                <w:p>
                  <w:pPr>
                    <w:pStyle w:val="TableContents"/>
                    <w:bidi w:val="0"/>
                    <w:spacing w:before="0" w:after="283"/>
                    <w:jc w:val="left"/>
                    <w:rPr/>
                  </w:pPr>
                  <w:r>
                    <w:rPr/>
                    <w:t>Kinam Hong</w:t>
                  </w:r>
                </w:p>
              </w:tc>
            </w:tr>
            <w:tr>
              <w:trPr/>
              <w:tc>
                <w:tcPr>
                  <w:tcW w:w="1192" w:type="dxa"/>
                  <w:tcBorders/>
                  <w:vAlign w:val="center"/>
                </w:tcPr>
                <w:p>
                  <w:pPr>
                    <w:pStyle w:val="TableContents"/>
                    <w:bidi w:val="0"/>
                    <w:spacing w:before="0" w:after="283"/>
                    <w:jc w:val="left"/>
                    <w:rPr/>
                  </w:pPr>
                  <w:r>
                    <w:rPr/>
                    <w:t>Date:</w:t>
                  </w:r>
                </w:p>
              </w:tc>
              <w:tc>
                <w:tcPr>
                  <w:tcW w:w="9013"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49"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Joseph Anderson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Joseph Anderson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Joseph Anderson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David Evans</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1"/>
        <w:gridCol w:w="4474"/>
      </w:tblGrid>
      <w:tr>
        <w:trPr/>
        <w:tc>
          <w:tcPr>
            <w:tcW w:w="57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9016"/>
            </w:tblGrid>
            <w:tr>
              <w:trPr/>
              <w:tc>
                <w:tcPr>
                  <w:tcW w:w="1189" w:type="dxa"/>
                  <w:tcBorders/>
                  <w:vAlign w:val="center"/>
                </w:tcPr>
                <w:p>
                  <w:pPr>
                    <w:pStyle w:val="TableContents"/>
                    <w:bidi w:val="0"/>
                    <w:spacing w:before="0" w:after="283"/>
                    <w:jc w:val="left"/>
                    <w:rPr/>
                  </w:pPr>
                  <w:r>
                    <w:rPr/>
                    <w:t>Signature:</w:t>
                  </w:r>
                </w:p>
              </w:tc>
              <w:tc>
                <w:tcPr>
                  <w:tcW w:w="9016" w:type="dxa"/>
                  <w:tcBorders/>
                  <w:vAlign w:val="center"/>
                </w:tcPr>
                <w:p>
                  <w:pPr>
                    <w:pStyle w:val="TableContents"/>
                    <w:bidi w:val="0"/>
                    <w:spacing w:before="0" w:after="283"/>
                    <w:jc w:val="left"/>
                    <w:rPr/>
                  </w:pPr>
                  <w:r>
                    <w:rPr/>
                    <w:t>David Evans</w:t>
                  </w:r>
                </w:p>
              </w:tc>
            </w:tr>
            <w:tr>
              <w:trPr/>
              <w:tc>
                <w:tcPr>
                  <w:tcW w:w="1189" w:type="dxa"/>
                  <w:tcBorders/>
                  <w:vAlign w:val="center"/>
                </w:tcPr>
                <w:p>
                  <w:pPr>
                    <w:pStyle w:val="TableContents"/>
                    <w:bidi w:val="0"/>
                    <w:spacing w:before="0" w:after="283"/>
                    <w:jc w:val="left"/>
                    <w:rPr/>
                  </w:pPr>
                  <w:r>
                    <w:rPr/>
                    <w:t>Name/Title:</w:t>
                  </w:r>
                </w:p>
              </w:tc>
              <w:tc>
                <w:tcPr>
                  <w:tcW w:w="9016" w:type="dxa"/>
                  <w:tcBorders/>
                  <w:vAlign w:val="center"/>
                </w:tcPr>
                <w:p>
                  <w:pPr>
                    <w:pStyle w:val="TableContents"/>
                    <w:bidi w:val="0"/>
                    <w:spacing w:before="0" w:after="283"/>
                    <w:jc w:val="left"/>
                    <w:rPr/>
                  </w:pPr>
                  <w:r>
                    <w:rPr/>
                    <w:t>David Evans</w:t>
                  </w:r>
                </w:p>
              </w:tc>
            </w:tr>
            <w:tr>
              <w:trPr/>
              <w:tc>
                <w:tcPr>
                  <w:tcW w:w="1189" w:type="dxa"/>
                  <w:tcBorders/>
                  <w:vAlign w:val="center"/>
                </w:tcPr>
                <w:p>
                  <w:pPr>
                    <w:pStyle w:val="TableContents"/>
                    <w:bidi w:val="0"/>
                    <w:spacing w:before="0" w:after="283"/>
                    <w:jc w:val="left"/>
                    <w:rPr/>
                  </w:pPr>
                  <w:r>
                    <w:rPr/>
                    <w:t>Date:</w:t>
                  </w:r>
                </w:p>
              </w:tc>
              <w:tc>
                <w:tcPr>
                  <w:tcW w:w="901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74" w:type="dxa"/>
            <w:tcBorders/>
            <w:vAlign w:val="center"/>
          </w:tcPr>
          <w:p>
            <w:pPr>
              <w:pStyle w:val="TableContents"/>
              <w:bidi w:val="0"/>
              <w:spacing w:before="0" w:after="283"/>
              <w:jc w:val="left"/>
              <w:rPr>
                <w:sz w:val="4"/>
                <w:szCs w:val="4"/>
              </w:rPr>
            </w:pPr>
            <w:r>
              <w:rPr>
                <w:sz w:val="4"/>
                <w:szCs w:val="4"/>
              </w:rPr>
            </w:r>
          </w:p>
        </w:tc>
      </w:tr>
    </w:tbl>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283"/>
              <w:jc w:val="center"/>
              <w:rPr>
                <w:b/>
              </w:rPr>
            </w:pPr>
            <w:r>
              <w:rPr>
                <w:b/>
              </w:rPr>
              <w:t xml:space="preserve">Exhibit Information </w:t>
            </w:r>
          </w:p>
        </w:tc>
      </w:tr>
      <w:tr>
        <w:trPr/>
        <w:tc>
          <w:tcPr>
            <w:tcW w:w="3406" w:type="dxa"/>
            <w:tcBorders/>
            <w:vAlign w:val="center"/>
          </w:tcPr>
          <w:p>
            <w:pPr>
              <w:pStyle w:val="TableContents"/>
              <w:bidi w:val="0"/>
              <w:spacing w:before="0" w:after="283"/>
              <w:jc w:val="left"/>
              <w:rPr/>
            </w:pPr>
            <w:r>
              <w:rPr/>
              <w:t>Exhibit 1 - Joint Filing Agreement</w:t>
            </w:r>
          </w:p>
        </w:tc>
      </w:tr>
    </w:tbl>
    <w:p>
      <w:pPr>
        <w:pStyle w:val="TextBody"/>
        <w:bidi w:val="0"/>
        <w:jc w:val="left"/>
        <w:rPr/>
      </w:pPr>
      <w:bookmarkStart w:id="40" w:name="tm2622076d1_ex-1.htm"/>
      <w:bookmarkStart w:id="41" w:name="kstm2622076d1_ex1"/>
      <w:bookmarkEnd w:id="40"/>
      <w:bookmarkEnd w:id="4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undersigned agree to the joint filing on behalf of each of them as a statement on Schedule 13G (including amendments thereto) with respect to the common shares of Hemab Therapeutics Holdings, Inc. and further agree that this agreement be included as an exhibit to such filing. Each party to this agreement expressly authorizes each other party to file on its behalf any and all amendments to such statement. Each party to this agreement agrees that this joint filing agreement may be signed in counterparts.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evidence whereof, the undersigned have caused this agreement to be executed on their behalf on August 5, 2026.</w:t>
      </w:r>
    </w:p>
    <w:p>
      <w:pPr>
        <w:pStyle w:val="TextBody"/>
        <w:bidi w:val="0"/>
        <w:spacing w:before="0" w:after="0"/>
        <w:ind w:left="0" w:right="0" w:firstLine="720"/>
        <w:jc w:val="left"/>
        <w:rPr>
          <w:caps w:val="false"/>
          <w:smallCaps w:val="false"/>
        </w:rPr>
      </w:pPr>
      <w:r>
        <w:rPr>
          <w:caps w:val="false"/>
          <w:smallCaps w:val="false"/>
        </w:rPr>
        <w:t> </w:t>
      </w:r>
    </w:p>
    <w:tbl>
      <w:tblPr>
        <w:tblW w:w="6404" w:type="dxa"/>
        <w:jc w:val="left"/>
        <w:tblInd w:w="0" w:type="dxa"/>
        <w:tblLayout w:type="fixed"/>
        <w:tblCellMar>
          <w:top w:w="0" w:type="dxa"/>
          <w:left w:w="0" w:type="dxa"/>
          <w:bottom w:w="0" w:type="dxa"/>
          <w:right w:w="0" w:type="dxa"/>
        </w:tblCellMar>
      </w:tblPr>
      <w:tblGrid>
        <w:gridCol w:w="560"/>
        <w:gridCol w:w="1865"/>
        <w:gridCol w:w="60"/>
        <w:gridCol w:w="880"/>
        <w:gridCol w:w="3039"/>
      </w:tblGrid>
      <w:tr>
        <w:trPr/>
        <w:tc>
          <w:tcPr>
            <w:tcW w:w="24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Sofinnova Crossover II SLP</w:t>
            </w:r>
          </w:p>
        </w:tc>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Sofinnova Partners SAS, </w:t>
            </w:r>
            <w:r>
              <w:rPr>
                <w:rFonts w:ascii="Times New Roman;Times;Serif" w:hAnsi="Times New Roman;Times;Serif"/>
                <w:sz w:val="20"/>
              </w:rPr>
              <w:t>a French corporation  </w:t>
            </w:r>
          </w:p>
        </w:tc>
      </w:tr>
      <w:tr>
        <w:trPr/>
        <w:tc>
          <w:tcPr>
            <w:tcW w:w="5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3039"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65"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Antonie Papiernik</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39"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Antonie Papiernik</w:t>
            </w:r>
          </w:p>
        </w:tc>
      </w:tr>
      <w:tr>
        <w:trPr/>
        <w:tc>
          <w:tcPr>
            <w:tcW w:w="5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3039"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Antonie Papiernik</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Antonie Papiernik</w:t>
            </w:r>
          </w:p>
        </w:tc>
      </w:tr>
      <w:tr>
        <w:trPr/>
        <w:tc>
          <w:tcPr>
            <w:tcW w:w="5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3039"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Managing Partner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560"/>
        <w:gridCol w:w="1865"/>
        <w:gridCol w:w="60"/>
        <w:gridCol w:w="545"/>
        <w:gridCol w:w="1610"/>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65"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Antonie Papiernik</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610"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Cédric Moreau</w:t>
            </w:r>
          </w:p>
        </w:tc>
      </w:tr>
      <w:tr>
        <w:trPr/>
        <w:tc>
          <w:tcPr>
            <w:tcW w:w="5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Antonie Papiernik</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Cédric Moreau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560"/>
        <w:gridCol w:w="1415"/>
        <w:gridCol w:w="60"/>
        <w:gridCol w:w="545"/>
        <w:gridCol w:w="17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Kinam Hong</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vAlign w:val="center"/>
          </w:tcPr>
          <w:p>
            <w:pPr>
              <w:pStyle w:val="TableContents"/>
              <w:bidi w:val="0"/>
              <w:spacing w:before="0" w:after="283"/>
              <w:jc w:val="left"/>
              <w:rPr/>
            </w:pPr>
            <w:r>
              <w:rPr/>
              <w:t>  </w:t>
            </w:r>
            <w:r>
              <w:rPr>
                <w:rFonts w:ascii="Times New Roman;Times;Serif" w:hAnsi="Times New Roman;Times;Serif"/>
                <w:sz w:val="20"/>
              </w:rPr>
              <w:t>/s/ Joseph Anderson</w:t>
            </w:r>
          </w:p>
        </w:tc>
      </w:tr>
      <w:tr>
        <w:trPr/>
        <w:tc>
          <w:tcPr>
            <w:tcW w:w="5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75"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Kinam Hong</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Joseph Anderson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560"/>
        <w:gridCol w:w="1415"/>
        <w:gridCol w:w="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David Evans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Evans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2904</Words>
  <Characters>14250</Characters>
  <CharactersWithSpaces>17066</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